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DA7AB" w14:textId="77777777" w:rsidR="00AB36AD" w:rsidRDefault="00AB36AD" w:rsidP="009348C5"/>
    <w:p w14:paraId="59B11966" w14:textId="0E6B6EC4" w:rsidR="00AB36AD" w:rsidRDefault="00AB36AD" w:rsidP="009348C5">
      <w:pPr>
        <w:rPr>
          <w:b/>
          <w:bCs/>
          <w:color w:val="FF0000"/>
        </w:rPr>
      </w:pPr>
      <w:r>
        <w:rPr>
          <w:b/>
          <w:bCs/>
          <w:noProof/>
          <w:color w:val="FF0000"/>
        </w:rPr>
        <w:t xml:space="preserve">                                          </w:t>
      </w:r>
      <w:r>
        <w:rPr>
          <w:b/>
          <w:bCs/>
          <w:noProof/>
          <w:color w:val="FF0000"/>
        </w:rPr>
        <w:drawing>
          <wp:inline distT="0" distB="0" distL="0" distR="0" wp14:anchorId="65EDF8CE" wp14:editId="7D24A1A9">
            <wp:extent cx="1222375" cy="1222375"/>
            <wp:effectExtent l="0" t="0" r="0" b="0"/>
            <wp:docPr id="1" name="Picture 1"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222375" cy="1222375"/>
                    </a:xfrm>
                    <a:prstGeom prst="rect">
                      <a:avLst/>
                    </a:prstGeom>
                  </pic:spPr>
                </pic:pic>
              </a:graphicData>
            </a:graphic>
          </wp:inline>
        </w:drawing>
      </w:r>
      <w:r>
        <w:rPr>
          <w:b/>
          <w:bCs/>
          <w:noProof/>
          <w:color w:val="FF0000"/>
        </w:rPr>
        <w:t xml:space="preserve">        </w:t>
      </w:r>
      <w:r>
        <w:rPr>
          <w:b/>
          <w:bCs/>
          <w:noProof/>
          <w:color w:val="FF0000"/>
        </w:rPr>
        <w:drawing>
          <wp:inline distT="0" distB="0" distL="0" distR="0" wp14:anchorId="4A850E73" wp14:editId="507F1E71">
            <wp:extent cx="1502410" cy="87177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9767" cy="876039"/>
                    </a:xfrm>
                    <a:prstGeom prst="rect">
                      <a:avLst/>
                    </a:prstGeom>
                  </pic:spPr>
                </pic:pic>
              </a:graphicData>
            </a:graphic>
          </wp:inline>
        </w:drawing>
      </w:r>
    </w:p>
    <w:p w14:paraId="74373AE3" w14:textId="77777777" w:rsidR="00AB36AD" w:rsidRDefault="00AB36AD" w:rsidP="009348C5">
      <w:pPr>
        <w:rPr>
          <w:b/>
          <w:bCs/>
          <w:color w:val="FF0000"/>
        </w:rPr>
      </w:pPr>
    </w:p>
    <w:p w14:paraId="3E3E4FAF" w14:textId="77777777" w:rsidR="00AB36AD" w:rsidRDefault="00AB36AD" w:rsidP="009348C5">
      <w:pPr>
        <w:rPr>
          <w:b/>
          <w:bCs/>
          <w:color w:val="FF0000"/>
        </w:rPr>
      </w:pPr>
    </w:p>
    <w:p w14:paraId="489D3D4B" w14:textId="05DB043D" w:rsidR="00AB36AD" w:rsidRPr="00AB36AD" w:rsidRDefault="00AB36AD" w:rsidP="009348C5">
      <w:pPr>
        <w:rPr>
          <w:b/>
          <w:bCs/>
          <w:color w:val="FF0000"/>
        </w:rPr>
      </w:pPr>
      <w:r>
        <w:rPr>
          <w:b/>
          <w:bCs/>
          <w:color w:val="FF0000"/>
        </w:rPr>
        <w:t xml:space="preserve">As members will be aware, the FSOA and UKFPU are keen to share information that affects the football safety world. Below is some very useful information provided by </w:t>
      </w:r>
      <w:r w:rsidRPr="00AB36AD">
        <w:rPr>
          <w:b/>
          <w:bCs/>
        </w:rPr>
        <w:t>Mick Johnson</w:t>
      </w:r>
      <w:r>
        <w:rPr>
          <w:b/>
          <w:bCs/>
          <w:color w:val="FF0000"/>
        </w:rPr>
        <w:t xml:space="preserve">, Director of the </w:t>
      </w:r>
      <w:r w:rsidRPr="00782C6D">
        <w:rPr>
          <w:b/>
          <w:bCs/>
        </w:rPr>
        <w:t>UKFPU</w:t>
      </w:r>
      <w:r>
        <w:rPr>
          <w:b/>
          <w:bCs/>
          <w:color w:val="FF0000"/>
        </w:rPr>
        <w:t>. This concerns one or two articles that have already come into force and one or two that are imminent. We will continue to work together in terms of banning orders and football offences.</w:t>
      </w:r>
    </w:p>
    <w:p w14:paraId="218A8B3F" w14:textId="77777777" w:rsidR="00AB36AD" w:rsidRDefault="00AB36AD" w:rsidP="009348C5"/>
    <w:p w14:paraId="106DC6BE" w14:textId="77777777" w:rsidR="00AB36AD" w:rsidRDefault="00AB36AD" w:rsidP="009348C5"/>
    <w:p w14:paraId="15A05C0F" w14:textId="5B0CADA0" w:rsidR="009348C5" w:rsidRDefault="009348C5" w:rsidP="009348C5">
      <w:r>
        <w:t>The Home Office have today (17</w:t>
      </w:r>
      <w:r w:rsidRPr="009348C5">
        <w:rPr>
          <w:vertAlign w:val="superscript"/>
        </w:rPr>
        <w:t>th</w:t>
      </w:r>
      <w:r>
        <w:t xml:space="preserve"> June) issued </w:t>
      </w:r>
      <w:hyperlink r:id="rId7" w:history="1">
        <w:r>
          <w:rPr>
            <w:rStyle w:val="Hyperlink"/>
          </w:rPr>
          <w:t>Circular 005/2022: Police, Crime, Sentencing and Courts Act 2022 - GOV.UK</w:t>
        </w:r>
      </w:hyperlink>
    </w:p>
    <w:p w14:paraId="43F856D5" w14:textId="77777777" w:rsidR="009348C5" w:rsidRDefault="009348C5" w:rsidP="009348C5"/>
    <w:p w14:paraId="292809BD" w14:textId="77777777" w:rsidR="009348C5" w:rsidRDefault="009348C5" w:rsidP="009348C5">
      <w:pPr>
        <w:pStyle w:val="NoSpacing"/>
        <w:rPr>
          <w:lang w:val="en"/>
        </w:rPr>
      </w:pPr>
      <w:r>
        <w:rPr>
          <w:lang w:val="en"/>
        </w:rPr>
        <w:t>This is issued to inform the police and other relevant public authorities of certain provisions of the Police, Crime, Sentencing and Courts Act 2022 that have, and are due to come into Force from 12 May 2022 to 1 August 2022</w:t>
      </w:r>
    </w:p>
    <w:p w14:paraId="000A61C5" w14:textId="77777777" w:rsidR="009348C5" w:rsidRDefault="009348C5" w:rsidP="009348C5">
      <w:pPr>
        <w:pStyle w:val="NoSpacing"/>
      </w:pPr>
    </w:p>
    <w:p w14:paraId="29556855" w14:textId="77777777" w:rsidR="009348C5" w:rsidRDefault="009348C5" w:rsidP="009348C5">
      <w:pPr>
        <w:rPr>
          <w:lang w:val="en"/>
        </w:rPr>
      </w:pPr>
      <w:r>
        <w:rPr>
          <w:lang w:val="en"/>
        </w:rPr>
        <w:t>Certain Sections (see below) relate to the changes that are to be made in relation to Football Banning Orders</w:t>
      </w:r>
    </w:p>
    <w:p w14:paraId="56F3B628" w14:textId="77777777" w:rsidR="009348C5" w:rsidRDefault="009348C5" w:rsidP="006B2474">
      <w:pPr>
        <w:pStyle w:val="NoSpacing"/>
        <w:rPr>
          <w:sz w:val="28"/>
        </w:rPr>
      </w:pPr>
    </w:p>
    <w:p w14:paraId="5E9FF52B" w14:textId="77777777" w:rsidR="006B2474" w:rsidRPr="00AB36AD" w:rsidRDefault="006B2474" w:rsidP="006B2474">
      <w:pPr>
        <w:pStyle w:val="NoSpacing"/>
        <w:rPr>
          <w:b/>
          <w:bCs/>
        </w:rPr>
      </w:pPr>
      <w:r w:rsidRPr="00AB36AD">
        <w:rPr>
          <w:b/>
          <w:bCs/>
          <w:sz w:val="28"/>
        </w:rPr>
        <w:t>Football banning orders</w:t>
      </w:r>
    </w:p>
    <w:p w14:paraId="398D6E41" w14:textId="77777777" w:rsidR="006B2474" w:rsidRDefault="006B2474" w:rsidP="006B2474">
      <w:pPr>
        <w:pStyle w:val="NoSpacing"/>
        <w:rPr>
          <w:b/>
          <w:sz w:val="24"/>
        </w:rPr>
      </w:pPr>
    </w:p>
    <w:p w14:paraId="01CB8238" w14:textId="77777777" w:rsidR="006B2474" w:rsidRDefault="006B2474" w:rsidP="006B2474">
      <w:pPr>
        <w:pStyle w:val="NoSpacing"/>
        <w:rPr>
          <w:b/>
          <w:sz w:val="24"/>
        </w:rPr>
      </w:pPr>
      <w:r w:rsidRPr="006B2474">
        <w:rPr>
          <w:b/>
          <w:sz w:val="24"/>
        </w:rPr>
        <w:t>Section 190: Football Banning Orders: relevant offences (commencement date: 29 June 2022)</w:t>
      </w:r>
    </w:p>
    <w:p w14:paraId="774F4035" w14:textId="77777777" w:rsidR="006B2474" w:rsidRPr="006B2474" w:rsidRDefault="006B2474" w:rsidP="006B2474">
      <w:pPr>
        <w:pStyle w:val="NoSpacing"/>
        <w:rPr>
          <w:b/>
          <w:sz w:val="24"/>
        </w:rPr>
      </w:pPr>
    </w:p>
    <w:p w14:paraId="365F355B" w14:textId="77777777" w:rsidR="006B2474" w:rsidRDefault="006B2474" w:rsidP="006B2474">
      <w:pPr>
        <w:pStyle w:val="NoSpacing"/>
        <w:rPr>
          <w:sz w:val="24"/>
        </w:rPr>
      </w:pPr>
      <w:r w:rsidRPr="006B2474">
        <w:rPr>
          <w:sz w:val="24"/>
        </w:rPr>
        <w:t>192. Football banning orders were designed to respond to and prevent violence and disorder related to football matches before widespread online communication and the advent of engagement with football through online platforms. Section 188 adds relevant communications offences with a hate element, such as racist or homophobic hate speech, as well as certain offences relating to race or religion, where they relate to football, to the schedule of relevant offences for banning order purposes on conviction. The offences are added where they relate to a football organisation or to a person with a prescribed connection to such organisation; these will be set out in secondary legislation and could, for example, include a football player or manager of an elite team. The objective of this is to prevent such offenders from exporting their online and remote hate crime to real world football matches and deter such behaviour.</w:t>
      </w:r>
    </w:p>
    <w:p w14:paraId="7D8EB773" w14:textId="77777777" w:rsidR="006B2474" w:rsidRDefault="006B2474" w:rsidP="006B2474">
      <w:pPr>
        <w:pStyle w:val="NoSpacing"/>
        <w:rPr>
          <w:sz w:val="24"/>
        </w:rPr>
      </w:pPr>
    </w:p>
    <w:p w14:paraId="6720BD59" w14:textId="77777777" w:rsidR="006B2474" w:rsidRPr="006B2474" w:rsidRDefault="006B2474" w:rsidP="006B2474">
      <w:pPr>
        <w:pStyle w:val="NoSpacing"/>
        <w:rPr>
          <w:sz w:val="24"/>
        </w:rPr>
      </w:pPr>
    </w:p>
    <w:p w14:paraId="6E0CE1DC" w14:textId="77777777" w:rsidR="006B2474" w:rsidRDefault="006B2474" w:rsidP="006B2474">
      <w:pPr>
        <w:pStyle w:val="NoSpacing"/>
        <w:rPr>
          <w:sz w:val="24"/>
        </w:rPr>
      </w:pPr>
      <w:r w:rsidRPr="006B2474">
        <w:rPr>
          <w:sz w:val="24"/>
        </w:rPr>
        <w:t>193. Subsections (3) to (5) add to Schedule 1 to the Football Spectators Act 1989 the offence under section 4 of the Public Order Act 1986 (fear or provocation of violence) when committed:</w:t>
      </w:r>
    </w:p>
    <w:p w14:paraId="7F41AFA7" w14:textId="77777777" w:rsidR="006B2474" w:rsidRPr="006B2474" w:rsidRDefault="006B2474" w:rsidP="006B2474">
      <w:pPr>
        <w:pStyle w:val="NoSpacing"/>
        <w:rPr>
          <w:sz w:val="24"/>
        </w:rPr>
      </w:pPr>
    </w:p>
    <w:p w14:paraId="15FC87E4" w14:textId="77777777" w:rsidR="006B2474" w:rsidRPr="006B2474" w:rsidRDefault="006B2474" w:rsidP="006B2474">
      <w:pPr>
        <w:pStyle w:val="NoSpacing"/>
        <w:numPr>
          <w:ilvl w:val="0"/>
          <w:numId w:val="2"/>
        </w:numPr>
        <w:rPr>
          <w:sz w:val="24"/>
        </w:rPr>
      </w:pPr>
      <w:r w:rsidRPr="006B2474">
        <w:rPr>
          <w:sz w:val="24"/>
        </w:rPr>
        <w:t>at, or when entering or leaving, any premises during a period relevant to a football match;</w:t>
      </w:r>
    </w:p>
    <w:p w14:paraId="13F5F0CD" w14:textId="77777777" w:rsidR="006B2474" w:rsidRPr="006B2474" w:rsidRDefault="006B2474" w:rsidP="006B2474">
      <w:pPr>
        <w:pStyle w:val="NoSpacing"/>
        <w:numPr>
          <w:ilvl w:val="0"/>
          <w:numId w:val="2"/>
        </w:numPr>
        <w:rPr>
          <w:sz w:val="24"/>
        </w:rPr>
      </w:pPr>
      <w:r w:rsidRPr="006B2474">
        <w:rPr>
          <w:sz w:val="24"/>
        </w:rPr>
        <w:lastRenderedPageBreak/>
        <w:t>on a journey to or from a football match and where the court makes a declaration that the offence related to a football match; or</w:t>
      </w:r>
    </w:p>
    <w:p w14:paraId="5D239A13" w14:textId="77777777" w:rsidR="006B2474" w:rsidRPr="006B2474" w:rsidRDefault="006B2474" w:rsidP="006B2474">
      <w:pPr>
        <w:pStyle w:val="NoSpacing"/>
        <w:numPr>
          <w:ilvl w:val="0"/>
          <w:numId w:val="2"/>
        </w:numPr>
        <w:rPr>
          <w:sz w:val="24"/>
        </w:rPr>
      </w:pPr>
      <w:r w:rsidRPr="006B2474">
        <w:rPr>
          <w:sz w:val="24"/>
        </w:rPr>
        <w:t>otherwise committed during a period relevant to a football match and where the court makes a declaration that the offence related to a football match.</w:t>
      </w:r>
    </w:p>
    <w:p w14:paraId="39DAAE2F" w14:textId="77777777" w:rsidR="006B2474" w:rsidRDefault="006B2474" w:rsidP="006B2474">
      <w:pPr>
        <w:pStyle w:val="NoSpacing"/>
        <w:rPr>
          <w:sz w:val="24"/>
        </w:rPr>
      </w:pPr>
    </w:p>
    <w:p w14:paraId="15590E67" w14:textId="77777777" w:rsidR="006B2474" w:rsidRDefault="006B2474" w:rsidP="006B2474">
      <w:pPr>
        <w:pStyle w:val="NoSpacing"/>
        <w:rPr>
          <w:sz w:val="24"/>
        </w:rPr>
      </w:pPr>
    </w:p>
    <w:p w14:paraId="148A4A48" w14:textId="77777777" w:rsidR="006B2474" w:rsidRPr="006B2474" w:rsidRDefault="006B2474" w:rsidP="006B2474">
      <w:pPr>
        <w:pStyle w:val="NoSpacing"/>
        <w:rPr>
          <w:sz w:val="24"/>
        </w:rPr>
      </w:pPr>
      <w:r w:rsidRPr="006B2474">
        <w:rPr>
          <w:sz w:val="24"/>
        </w:rPr>
        <w:t>194. Subsection (6) adds to Schedule 1 any offence under Part 3 or 3A of the Public Order Act 1986 (racial hatred or hatred against persons on religious grounds or grounds of sexual orientation) and any offence under section 31 of the Crime and Disorder Act 1998 (racially or religiously aggravated public order offences) where the court makes a declaration that the offence related to a football match, to a football organisation or to a person whom the accused knew or believed to have a prescribed connection to a football organisation.</w:t>
      </w:r>
    </w:p>
    <w:p w14:paraId="18505CDD" w14:textId="77777777" w:rsidR="006B2474" w:rsidRDefault="006B2474" w:rsidP="006B2474">
      <w:pPr>
        <w:pStyle w:val="NoSpacing"/>
        <w:rPr>
          <w:sz w:val="24"/>
        </w:rPr>
      </w:pPr>
    </w:p>
    <w:p w14:paraId="5E07404F" w14:textId="77777777" w:rsidR="006B2474" w:rsidRDefault="006B2474" w:rsidP="006B2474">
      <w:pPr>
        <w:pStyle w:val="NoSpacing"/>
        <w:rPr>
          <w:sz w:val="24"/>
        </w:rPr>
      </w:pPr>
    </w:p>
    <w:p w14:paraId="573AEF1D" w14:textId="77777777" w:rsidR="006B2474" w:rsidRPr="006B2474" w:rsidRDefault="006B2474" w:rsidP="006B2474">
      <w:pPr>
        <w:pStyle w:val="NoSpacing"/>
        <w:rPr>
          <w:sz w:val="24"/>
        </w:rPr>
      </w:pPr>
      <w:r w:rsidRPr="006B2474">
        <w:rPr>
          <w:sz w:val="24"/>
        </w:rPr>
        <w:t>195. Subsection (6) also adds to Schedule 1 communications offences under section 1 of the Malicious Communications Act 1988 (offence of sending letter, electronic communication or article with intent to cause distress or anxiety) and under section 127(1) of the Communications Act 2003 (improper use of public telecommunications network), not otherwise covered in the Schedule, where the court has stated on sentencing that the offence is aggravated by racial or religious hostility, or hostility related to disability, sexual orientation or transgender identity (the grounds set out in section 66(1) of the Sentencing Code) and where the court makes a declaration that the offence related to a football match, to a football organisation or to a person whom the accused knew or believed to have a prescribed connection to a football organisation.</w:t>
      </w:r>
    </w:p>
    <w:p w14:paraId="0AF41244" w14:textId="77777777" w:rsidR="006B2474" w:rsidRDefault="006B2474" w:rsidP="006B2474">
      <w:pPr>
        <w:pStyle w:val="NoSpacing"/>
        <w:rPr>
          <w:sz w:val="24"/>
        </w:rPr>
      </w:pPr>
    </w:p>
    <w:p w14:paraId="506D6F4D" w14:textId="77777777" w:rsidR="006B2474" w:rsidRPr="006B2474" w:rsidRDefault="006B2474" w:rsidP="006B2474">
      <w:pPr>
        <w:pStyle w:val="NoSpacing"/>
        <w:rPr>
          <w:sz w:val="24"/>
        </w:rPr>
      </w:pPr>
      <w:r w:rsidRPr="006B2474">
        <w:rPr>
          <w:sz w:val="24"/>
        </w:rPr>
        <w:t>196. Subsections (7) and (8) define a “football organisation” for the purposes of Schedule 1 as a “regulated football organisation” for the purposes of Part 2 of the 1989 Act, being an organisation that relates to association football and which is prescribed, or its description is prescribed, by secondary legislation (an order made by the Secretary of State). Subsection (7) also provides that an order setting out where a person has a “prescribed connection” to a football organisation can include a past or future connection, such as a player announced as having agreed to sign for a team but not yet employed by that team or a football manager who has recently retired. These new concepts of “football organisation” and “a prescribed connection to a football organisation” will (subject to parliamentary approval) be established by an order intended to be laid in June 2022; that order will also update and consolidate existing secondary legislation to the 1989 Act.</w:t>
      </w:r>
    </w:p>
    <w:p w14:paraId="1153CA72" w14:textId="77777777" w:rsidR="006B2474" w:rsidRDefault="006B2474" w:rsidP="006B2474">
      <w:pPr>
        <w:pStyle w:val="NoSpacing"/>
        <w:rPr>
          <w:sz w:val="24"/>
        </w:rPr>
      </w:pPr>
    </w:p>
    <w:p w14:paraId="568A395A" w14:textId="77777777" w:rsidR="006B2474" w:rsidRPr="006B2474" w:rsidRDefault="006B2474" w:rsidP="006B2474">
      <w:pPr>
        <w:pStyle w:val="NoSpacing"/>
        <w:rPr>
          <w:sz w:val="24"/>
        </w:rPr>
      </w:pPr>
    </w:p>
    <w:p w14:paraId="0FC7058B" w14:textId="77777777" w:rsidR="006B2474" w:rsidRPr="006B2474" w:rsidRDefault="006B2474" w:rsidP="006B2474">
      <w:pPr>
        <w:pStyle w:val="NoSpacing"/>
        <w:rPr>
          <w:sz w:val="24"/>
        </w:rPr>
      </w:pPr>
      <w:r w:rsidRPr="006B2474">
        <w:rPr>
          <w:sz w:val="24"/>
        </w:rPr>
        <w:t xml:space="preserve">197. Due to the potential for the committing of online and remote hate offences at any time, the Act removes the geographic and temporal proximity for such offences within the schedule of relevant offences, by not requiring the offence to have occurred at, on a journey to, or within 24 hours of, a regulated football match. Subsections (9) to (11) amend subsections (1) and (5) of section 23 of the 1989 Act whereby a “declaration of relevance”, which the court must make for offences committed away from a football stadium to be “relevant offences” for the purposes of section 14A and Schedule 1, can now relate not only to football matches but also football organisations, or persons with a prescribed connection to a football organisation. This is intended to encompass, for example, the remote hate offences against football organisations or persons connected to football, such as a racist </w:t>
      </w:r>
      <w:r w:rsidRPr="006B2474">
        <w:rPr>
          <w:sz w:val="24"/>
        </w:rPr>
        <w:lastRenderedPageBreak/>
        <w:t>tweet against a football team or player. The court will now be able to make a declaration of relevance that an offence is football-related in those circumstances.</w:t>
      </w:r>
    </w:p>
    <w:p w14:paraId="612C62C9" w14:textId="77777777" w:rsidR="006B2474" w:rsidRDefault="006B2474" w:rsidP="006B2474">
      <w:pPr>
        <w:pStyle w:val="NoSpacing"/>
        <w:rPr>
          <w:sz w:val="24"/>
        </w:rPr>
      </w:pPr>
    </w:p>
    <w:p w14:paraId="7ED6A92F" w14:textId="77777777" w:rsidR="006B2474" w:rsidRDefault="006B2474" w:rsidP="006B2474">
      <w:pPr>
        <w:pStyle w:val="NoSpacing"/>
        <w:rPr>
          <w:sz w:val="24"/>
        </w:rPr>
      </w:pPr>
    </w:p>
    <w:p w14:paraId="0C256D0F" w14:textId="77777777" w:rsidR="006B2474" w:rsidRPr="006B2474" w:rsidRDefault="006B2474" w:rsidP="006B2474">
      <w:pPr>
        <w:pStyle w:val="NoSpacing"/>
        <w:rPr>
          <w:sz w:val="24"/>
        </w:rPr>
      </w:pPr>
      <w:r w:rsidRPr="006B2474">
        <w:rPr>
          <w:sz w:val="24"/>
        </w:rPr>
        <w:t>198. Subsection (12) provides that this section does not apply in relation to offences committed before the provision comes into force.</w:t>
      </w:r>
    </w:p>
    <w:p w14:paraId="12D58B07" w14:textId="77777777" w:rsidR="006B2474" w:rsidRDefault="006B2474" w:rsidP="006B2474">
      <w:pPr>
        <w:pStyle w:val="NoSpacing"/>
      </w:pPr>
    </w:p>
    <w:p w14:paraId="25435653" w14:textId="77777777" w:rsidR="006B2474" w:rsidRDefault="006B2474" w:rsidP="006B2474">
      <w:pPr>
        <w:pStyle w:val="NoSpacing"/>
      </w:pPr>
    </w:p>
    <w:p w14:paraId="23536C45" w14:textId="77777777" w:rsidR="006B2474" w:rsidRPr="006B2474" w:rsidRDefault="006B2474" w:rsidP="006B2474">
      <w:pPr>
        <w:pStyle w:val="NoSpacing"/>
        <w:rPr>
          <w:b/>
          <w:sz w:val="24"/>
        </w:rPr>
      </w:pPr>
      <w:r w:rsidRPr="006B2474">
        <w:rPr>
          <w:b/>
          <w:sz w:val="24"/>
        </w:rPr>
        <w:t>Section 191: Football banning orders: power to amend list of relevant offences (commencement date: 28 April 2022)</w:t>
      </w:r>
    </w:p>
    <w:p w14:paraId="526D5CCC" w14:textId="77777777" w:rsidR="006B2474" w:rsidRDefault="006B2474" w:rsidP="006B2474">
      <w:pPr>
        <w:pStyle w:val="NoSpacing"/>
        <w:rPr>
          <w:sz w:val="24"/>
        </w:rPr>
      </w:pPr>
    </w:p>
    <w:p w14:paraId="488DCDC2" w14:textId="77777777" w:rsidR="006B2474" w:rsidRPr="006B2474" w:rsidRDefault="006B2474" w:rsidP="006B2474">
      <w:pPr>
        <w:pStyle w:val="NoSpacing"/>
        <w:rPr>
          <w:sz w:val="28"/>
          <w:szCs w:val="24"/>
        </w:rPr>
      </w:pPr>
      <w:r w:rsidRPr="006B2474">
        <w:rPr>
          <w:sz w:val="24"/>
        </w:rPr>
        <w:t>199. Subsection (1) creates a new power for the Secretary of State to add, modify or remove a reference to an offence or a description of offence to Schedule 1 to the 1989 Act (the list of relevant offences for banning orders on conviction), and make related consequential amendments to that Act. The power is subject to the affirmative resolution procedure. This power will enable the Secretary of State to ensure that the list of relevant offences for the purposes of football banning order proceedings can be kept up-to-date and relevant in the event of amendment to the Acts listed in the Schedule or developing trends of harm or disorder relating to football, such as online hate offences.</w:t>
      </w:r>
    </w:p>
    <w:p w14:paraId="031B688B" w14:textId="77777777" w:rsidR="006B2474" w:rsidRDefault="006B2474" w:rsidP="006B2474">
      <w:pPr>
        <w:pStyle w:val="NoSpacing"/>
        <w:rPr>
          <w:sz w:val="24"/>
        </w:rPr>
      </w:pPr>
    </w:p>
    <w:p w14:paraId="4D864089" w14:textId="77777777" w:rsidR="006B2474" w:rsidRDefault="006B2474" w:rsidP="006B2474">
      <w:pPr>
        <w:pStyle w:val="NoSpacing"/>
        <w:rPr>
          <w:sz w:val="24"/>
        </w:rPr>
      </w:pPr>
    </w:p>
    <w:p w14:paraId="3266AFC6" w14:textId="77777777" w:rsidR="006B2474" w:rsidRPr="006B2474" w:rsidRDefault="006B2474" w:rsidP="006B2474">
      <w:pPr>
        <w:pStyle w:val="NoSpacing"/>
        <w:rPr>
          <w:sz w:val="24"/>
        </w:rPr>
      </w:pPr>
      <w:r w:rsidRPr="006B2474">
        <w:rPr>
          <w:sz w:val="24"/>
        </w:rPr>
        <w:t>200. Subsections (2) to (4) make amendments to section 22A of the 1989 Act, to enable regulations or orders made under Part 2 of the Act (such as prescribing a football related organisation) to make supplementary provision.</w:t>
      </w:r>
    </w:p>
    <w:p w14:paraId="28720DE8" w14:textId="77777777" w:rsidR="006B2474" w:rsidRDefault="006B2474" w:rsidP="006B2474">
      <w:pPr>
        <w:pStyle w:val="NoSpacing"/>
        <w:rPr>
          <w:b/>
          <w:sz w:val="24"/>
        </w:rPr>
      </w:pPr>
    </w:p>
    <w:p w14:paraId="3A8C41FE" w14:textId="77777777" w:rsidR="006B2474" w:rsidRDefault="006B2474" w:rsidP="006B2474">
      <w:pPr>
        <w:pStyle w:val="NoSpacing"/>
        <w:rPr>
          <w:b/>
          <w:sz w:val="24"/>
        </w:rPr>
      </w:pPr>
    </w:p>
    <w:p w14:paraId="31CC7668" w14:textId="77777777" w:rsidR="006B2474" w:rsidRDefault="006B2474" w:rsidP="006B2474">
      <w:pPr>
        <w:pStyle w:val="NoSpacing"/>
        <w:rPr>
          <w:b/>
          <w:sz w:val="24"/>
        </w:rPr>
      </w:pPr>
      <w:r w:rsidRPr="006B2474">
        <w:rPr>
          <w:b/>
          <w:sz w:val="24"/>
        </w:rPr>
        <w:t>Section 192: Football banning orders: requirement to make order on conviction etc (commencement date: 29 June 2022)</w:t>
      </w:r>
    </w:p>
    <w:p w14:paraId="0BE7320D" w14:textId="77777777" w:rsidR="006B2474" w:rsidRPr="006B2474" w:rsidRDefault="006B2474" w:rsidP="006B2474">
      <w:pPr>
        <w:pStyle w:val="NoSpacing"/>
        <w:rPr>
          <w:b/>
          <w:sz w:val="24"/>
        </w:rPr>
      </w:pPr>
    </w:p>
    <w:p w14:paraId="3F77CE07" w14:textId="77777777" w:rsidR="006B2474" w:rsidRPr="006B2474" w:rsidRDefault="006B2474" w:rsidP="006B2474">
      <w:pPr>
        <w:pStyle w:val="NoSpacing"/>
        <w:rPr>
          <w:sz w:val="24"/>
        </w:rPr>
      </w:pPr>
      <w:r w:rsidRPr="006B2474">
        <w:rPr>
          <w:sz w:val="24"/>
        </w:rPr>
        <w:t>201. Prior to the changes made by this Act, following conviction for a relevant football-related offence a court was required to consider whether the individual met a two-stage test of (</w:t>
      </w:r>
      <w:proofErr w:type="spellStart"/>
      <w:r w:rsidRPr="006B2474">
        <w:rPr>
          <w:sz w:val="24"/>
        </w:rPr>
        <w:t>i</w:t>
      </w:r>
      <w:proofErr w:type="spellEnd"/>
      <w:r w:rsidRPr="006B2474">
        <w:rPr>
          <w:sz w:val="24"/>
        </w:rPr>
        <w:t>) past involvement in football-related disorder (evidenced by conviction for a relevant offence); and (ii) posing an identifiable ongoing risk of such involvement.</w:t>
      </w:r>
    </w:p>
    <w:p w14:paraId="7227A9F2" w14:textId="77777777" w:rsidR="006B2474" w:rsidRDefault="006B2474" w:rsidP="006B2474">
      <w:pPr>
        <w:pStyle w:val="NoSpacing"/>
        <w:rPr>
          <w:sz w:val="24"/>
        </w:rPr>
      </w:pPr>
    </w:p>
    <w:p w14:paraId="76AFAD16" w14:textId="77777777" w:rsidR="006B2474" w:rsidRDefault="006B2474" w:rsidP="006B2474">
      <w:pPr>
        <w:pStyle w:val="NoSpacing"/>
        <w:rPr>
          <w:sz w:val="24"/>
        </w:rPr>
      </w:pPr>
    </w:p>
    <w:p w14:paraId="4C900EB7" w14:textId="77777777" w:rsidR="006B2474" w:rsidRPr="006B2474" w:rsidRDefault="006B2474" w:rsidP="006B2474">
      <w:pPr>
        <w:pStyle w:val="NoSpacing"/>
        <w:rPr>
          <w:sz w:val="24"/>
        </w:rPr>
      </w:pPr>
      <w:r w:rsidRPr="006B2474">
        <w:rPr>
          <w:sz w:val="24"/>
        </w:rPr>
        <w:t>202. Subsection (1) amends the test in section 14A of the Football Spectators Act 1989 under which a court may impose a banning order on an individual convicted of a relevant football related offence (as defined in Schedule 1 of that Act). The amendment removes the requirement that the convicted person must pose an identifiable risk of violence or disorder at or in connection with football matches. New section 14A(2) sets out that the court must make a banning order in respect of the offender unless it considers that there are particular circumstances relating to the offence or to the offender which would make it unjust in all the circumstances to do so. Where the court does not make a banning order, it must state in open court the reasons for not doing so, under section 14</w:t>
      </w:r>
      <w:proofErr w:type="gramStart"/>
      <w:r w:rsidRPr="006B2474">
        <w:rPr>
          <w:sz w:val="24"/>
        </w:rPr>
        <w:t>A(</w:t>
      </w:r>
      <w:proofErr w:type="gramEnd"/>
      <w:r w:rsidRPr="006B2474">
        <w:rPr>
          <w:sz w:val="24"/>
        </w:rPr>
        <w:t>3). The intention is that a Court will be required to consider the particular circumstances of the individual (and/or their offence) and decide whether those circumstances make it unjust to make the FBO in the broader context (which could, for example, include the deterrent effect of the FBO and/or the risks arising from hate conduct at football matches more generally).</w:t>
      </w:r>
    </w:p>
    <w:p w14:paraId="4D9167B5" w14:textId="77777777" w:rsidR="006B2474" w:rsidRDefault="006B2474" w:rsidP="006B2474">
      <w:pPr>
        <w:pStyle w:val="NoSpacing"/>
        <w:rPr>
          <w:sz w:val="24"/>
        </w:rPr>
      </w:pPr>
    </w:p>
    <w:p w14:paraId="5E4473CD" w14:textId="77777777" w:rsidR="006B2474" w:rsidRPr="006B2474" w:rsidRDefault="006B2474" w:rsidP="006B2474">
      <w:pPr>
        <w:pStyle w:val="NoSpacing"/>
        <w:rPr>
          <w:sz w:val="24"/>
        </w:rPr>
      </w:pPr>
    </w:p>
    <w:p w14:paraId="031B72A4" w14:textId="77777777" w:rsidR="006B2474" w:rsidRPr="006B2474" w:rsidRDefault="006B2474" w:rsidP="006B2474">
      <w:pPr>
        <w:pStyle w:val="NoSpacing"/>
        <w:rPr>
          <w:sz w:val="24"/>
        </w:rPr>
      </w:pPr>
      <w:r w:rsidRPr="006B2474">
        <w:rPr>
          <w:sz w:val="24"/>
        </w:rPr>
        <w:t>203. Subsections (2) to (4) make equivalent amendment to section 22 of the 1989 Act (banning orders arising out of offences outside England and Wales). Section 22 provides the courts with the power to impose a banning order on persons convicted of an offence in a country or territory outside England and Wales if that offence has been specified in an Order in Council as corresponding to an offence in Schedule 1 to the 1989 Act. The new subsections (4) and (5) provide that a court must make a banning order in respect of an offender convicted of a corresponding offence overseas unless the conviction is the subject of legal proceedings in that country questioning the conviction, or the court considers that there are particular circumstances relating to the offence or to the person which would make it unjust to make a banning order in all the circumstances. If the court decides not to make a banning order on these grounds, it must state in open court the reasons for not doing so, per new subsection (5A).</w:t>
      </w:r>
    </w:p>
    <w:p w14:paraId="4F09B806" w14:textId="77777777" w:rsidR="006B2474" w:rsidRDefault="006B2474" w:rsidP="006B2474">
      <w:pPr>
        <w:pStyle w:val="NoSpacing"/>
        <w:rPr>
          <w:sz w:val="24"/>
        </w:rPr>
      </w:pPr>
    </w:p>
    <w:p w14:paraId="42E58BBC" w14:textId="77777777" w:rsidR="006B2474" w:rsidRDefault="006B2474" w:rsidP="006B2474">
      <w:pPr>
        <w:pStyle w:val="NoSpacing"/>
        <w:rPr>
          <w:sz w:val="24"/>
        </w:rPr>
      </w:pPr>
    </w:p>
    <w:p w14:paraId="7B2E75B3" w14:textId="77777777" w:rsidR="006B2474" w:rsidRPr="006B2474" w:rsidRDefault="006B2474" w:rsidP="006B2474">
      <w:pPr>
        <w:pStyle w:val="NoSpacing"/>
        <w:rPr>
          <w:sz w:val="24"/>
        </w:rPr>
      </w:pPr>
      <w:r w:rsidRPr="006B2474">
        <w:rPr>
          <w:sz w:val="24"/>
        </w:rPr>
        <w:t>204. Subsection (5) provides that the section does not apply in relation to offences committed before the provision comes into force.</w:t>
      </w:r>
    </w:p>
    <w:p w14:paraId="40663C07" w14:textId="77777777" w:rsidR="00E05B81" w:rsidRDefault="00E05B81"/>
    <w:sectPr w:rsidR="00E05B81" w:rsidSect="006B2474">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4914"/>
    <w:multiLevelType w:val="multilevel"/>
    <w:tmpl w:val="AD5ACC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2A4D85"/>
    <w:multiLevelType w:val="hybridMultilevel"/>
    <w:tmpl w:val="4C84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6268455">
    <w:abstractNumId w:val="0"/>
  </w:num>
  <w:num w:numId="2" w16cid:durableId="239023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74"/>
    <w:rsid w:val="006B2474"/>
    <w:rsid w:val="00782C6D"/>
    <w:rsid w:val="009348C5"/>
    <w:rsid w:val="00AB36AD"/>
    <w:rsid w:val="00E05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9A383"/>
  <w15:chartTrackingRefBased/>
  <w15:docId w15:val="{92036080-0A3B-40F1-938B-CFFA40D0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474"/>
    <w:pPr>
      <w:spacing w:after="0" w:line="240" w:lineRule="auto"/>
    </w:pPr>
  </w:style>
  <w:style w:type="paragraph" w:styleId="Heading3">
    <w:name w:val="heading 3"/>
    <w:basedOn w:val="Normal"/>
    <w:link w:val="Heading3Char"/>
    <w:uiPriority w:val="9"/>
    <w:semiHidden/>
    <w:unhideWhenUsed/>
    <w:qFormat/>
    <w:rsid w:val="006B2474"/>
    <w:pPr>
      <w:spacing w:before="100" w:beforeAutospacing="1" w:after="100" w:afterAutospacing="1"/>
      <w:outlineLvl w:val="2"/>
    </w:pPr>
    <w:rPr>
      <w:rFonts w:ascii="Calibri" w:eastAsia="Times New Roman" w:hAnsi="Calibri"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B2474"/>
    <w:rPr>
      <w:rFonts w:ascii="Calibri" w:eastAsia="Times New Roman" w:hAnsi="Calibri" w:cs="Times New Roman"/>
      <w:b/>
      <w:bCs/>
      <w:sz w:val="27"/>
      <w:szCs w:val="27"/>
      <w:lang w:eastAsia="en-GB"/>
    </w:rPr>
  </w:style>
  <w:style w:type="character" w:styleId="Hyperlink">
    <w:name w:val="Hyperlink"/>
    <w:basedOn w:val="DefaultParagraphFont"/>
    <w:uiPriority w:val="99"/>
    <w:semiHidden/>
    <w:unhideWhenUsed/>
    <w:rsid w:val="006B2474"/>
    <w:rPr>
      <w:color w:val="0563C1" w:themeColor="hyperlink"/>
      <w:u w:val="single"/>
    </w:rPr>
  </w:style>
  <w:style w:type="paragraph" w:styleId="NormalWeb">
    <w:name w:val="Normal (Web)"/>
    <w:basedOn w:val="Normal"/>
    <w:uiPriority w:val="99"/>
    <w:semiHidden/>
    <w:unhideWhenUsed/>
    <w:rsid w:val="006B2474"/>
    <w:pPr>
      <w:spacing w:before="100" w:beforeAutospacing="1" w:after="100" w:afterAutospacing="1"/>
    </w:pPr>
    <w:rPr>
      <w:rFonts w:ascii="Times New Roman" w:hAnsi="Times New Roman" w:cs="Times New Roman"/>
      <w:sz w:val="24"/>
      <w:szCs w:val="24"/>
      <w:lang w:eastAsia="en-GB"/>
    </w:rPr>
  </w:style>
  <w:style w:type="character" w:styleId="Strong">
    <w:name w:val="Strong"/>
    <w:basedOn w:val="DefaultParagraphFont"/>
    <w:uiPriority w:val="22"/>
    <w:qFormat/>
    <w:rsid w:val="006B2474"/>
    <w:rPr>
      <w:b/>
      <w:bCs/>
    </w:rPr>
  </w:style>
  <w:style w:type="paragraph" w:styleId="NoSpacing">
    <w:name w:val="No Spacing"/>
    <w:uiPriority w:val="1"/>
    <w:qFormat/>
    <w:rsid w:val="006B24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68970">
      <w:bodyDiv w:val="1"/>
      <w:marLeft w:val="0"/>
      <w:marRight w:val="0"/>
      <w:marTop w:val="0"/>
      <w:marBottom w:val="0"/>
      <w:divBdr>
        <w:top w:val="none" w:sz="0" w:space="0" w:color="auto"/>
        <w:left w:val="none" w:sz="0" w:space="0" w:color="auto"/>
        <w:bottom w:val="none" w:sz="0" w:space="0" w:color="auto"/>
        <w:right w:val="none" w:sz="0" w:space="0" w:color="auto"/>
      </w:divBdr>
    </w:div>
    <w:div w:id="8087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circular-0052022-police-crime-sentencing-and-courts-act-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f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Capewell Carl</dc:creator>
  <cp:keywords/>
  <dc:description/>
  <cp:lastModifiedBy>Peter Houghton</cp:lastModifiedBy>
  <cp:revision>2</cp:revision>
  <dcterms:created xsi:type="dcterms:W3CDTF">2022-06-23T11:31:00Z</dcterms:created>
  <dcterms:modified xsi:type="dcterms:W3CDTF">2022-06-23T11:31:00Z</dcterms:modified>
</cp:coreProperties>
</file>